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5F27A58" w14:textId="25B84DCA" w:rsidR="00830BA0" w:rsidRPr="00830BA0" w:rsidRDefault="00DC1007" w:rsidP="00830BA0">
      <w:pPr>
        <w:keepNext/>
        <w:outlineLvl w:val="0"/>
        <w:rPr>
          <w:rFonts w:ascii="Calibri" w:hAnsi="Calibri"/>
          <w:b/>
          <w:bCs/>
          <w:noProof/>
          <w:color w:val="002060"/>
          <w:sz w:val="40"/>
          <w:szCs w:val="40"/>
        </w:rPr>
      </w:pPr>
      <w:r>
        <w:rPr>
          <w:rFonts w:ascii="Calibri" w:hAnsi="Calibri"/>
          <w:b/>
          <w:bCs/>
          <w:noProof/>
          <w:color w:val="002060"/>
          <w:sz w:val="40"/>
          <w:szCs w:val="40"/>
        </w:rPr>
        <w:t>Suggested Onboarding Process</w:t>
      </w:r>
    </w:p>
    <w:p w14:paraId="5A7C3534" w14:textId="77777777" w:rsidR="00DC1007" w:rsidRPr="00DC1007" w:rsidRDefault="00DC1007" w:rsidP="00DC1007">
      <w:pPr>
        <w:jc w:val="both"/>
        <w:rPr>
          <w:rFonts w:asciiTheme="minorHAnsi" w:hAnsiTheme="minorHAnsi"/>
          <w:color w:val="0070C0"/>
          <w:sz w:val="24"/>
          <w:szCs w:val="36"/>
          <w:lang w:eastAsia="en-US"/>
        </w:rPr>
      </w:pPr>
    </w:p>
    <w:p w14:paraId="6A11E640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1 – Before the employee starts</w:t>
      </w:r>
    </w:p>
    <w:p w14:paraId="4BBB27B3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 xml:space="preserve">Send the employee useful information about the organisation </w:t>
      </w:r>
    </w:p>
    <w:p w14:paraId="65EEE0EE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Plan the employee’s induction, including who will meet them on their first day, who will mentor them, and get their workspace ready</w:t>
      </w:r>
    </w:p>
    <w:p w14:paraId="183801AD" w14:textId="77777777" w:rsidR="00DC1007" w:rsidRPr="00DC1007" w:rsidRDefault="00DC1007" w:rsidP="00DC1007">
      <w:pPr>
        <w:jc w:val="both"/>
        <w:rPr>
          <w:rFonts w:asciiTheme="minorHAnsi" w:hAnsiTheme="minorHAnsi"/>
          <w:color w:val="0070C0"/>
          <w:sz w:val="16"/>
          <w:szCs w:val="36"/>
          <w:lang w:eastAsia="en-US"/>
        </w:rPr>
      </w:pPr>
    </w:p>
    <w:p w14:paraId="37A4FCF3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2 – First day</w:t>
      </w:r>
    </w:p>
    <w:p w14:paraId="4F88CB78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Show them around, introducing colleagues, managers and mentors</w:t>
      </w:r>
    </w:p>
    <w:p w14:paraId="4DF2A897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Deal with important documents, but don’t make Day 1 overwhelming</w:t>
      </w:r>
    </w:p>
    <w:p w14:paraId="713A7534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Health and safety must be outlined</w:t>
      </w:r>
    </w:p>
    <w:p w14:paraId="6AAF4F9D" w14:textId="77777777" w:rsidR="00DC1007" w:rsidRPr="00DC1007" w:rsidRDefault="00DC1007" w:rsidP="00DC1007">
      <w:pPr>
        <w:pStyle w:val="AzureBodyText-12pt"/>
        <w:tabs>
          <w:tab w:val="clear" w:pos="284"/>
          <w:tab w:val="left" w:pos="567"/>
        </w:tabs>
        <w:spacing w:after="0"/>
        <w:ind w:left="567" w:hanging="567"/>
        <w:rPr>
          <w:color w:val="0070C0"/>
          <w:sz w:val="16"/>
          <w:szCs w:val="36"/>
          <w:lang w:eastAsia="en-US"/>
        </w:rPr>
      </w:pPr>
    </w:p>
    <w:p w14:paraId="628E2076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3 – First week</w:t>
      </w:r>
    </w:p>
    <w:p w14:paraId="01803453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Explain a full who’s who, how the organisation works, its rules, how any facilities work, the new employee’s role and how they fit in</w:t>
      </w:r>
    </w:p>
    <w:p w14:paraId="2E640562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Explain how performance is assessed and let them try some tasks</w:t>
      </w:r>
    </w:p>
    <w:p w14:paraId="4E2F410A" w14:textId="77777777" w:rsidR="00DC1007" w:rsidRPr="00DC1007" w:rsidRDefault="00DC1007" w:rsidP="00DC1007">
      <w:pPr>
        <w:jc w:val="both"/>
        <w:rPr>
          <w:rFonts w:asciiTheme="minorHAnsi" w:hAnsiTheme="minorHAnsi"/>
          <w:color w:val="0070C0"/>
          <w:sz w:val="16"/>
          <w:szCs w:val="36"/>
          <w:lang w:eastAsia="en-US"/>
        </w:rPr>
      </w:pPr>
    </w:p>
    <w:p w14:paraId="05DF0A12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4 – First month</w:t>
      </w:r>
    </w:p>
    <w:p w14:paraId="5891FFD9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Informally establish how the employee is settling in, if any further training or coaching is needed, and if there are any other concerns</w:t>
      </w:r>
    </w:p>
    <w:p w14:paraId="74110138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Give reassuring but realistic feedback on how they are doing</w:t>
      </w:r>
    </w:p>
    <w:p w14:paraId="4B68B5EF" w14:textId="77777777" w:rsidR="00DC1007" w:rsidRPr="00DC1007" w:rsidRDefault="00DC1007" w:rsidP="00DC1007">
      <w:pPr>
        <w:jc w:val="both"/>
        <w:rPr>
          <w:rFonts w:asciiTheme="minorHAnsi" w:hAnsiTheme="minorHAnsi"/>
          <w:sz w:val="16"/>
          <w:lang w:eastAsia="en-US"/>
        </w:rPr>
      </w:pPr>
    </w:p>
    <w:p w14:paraId="0B185D95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5 – Three months</w:t>
      </w:r>
    </w:p>
    <w:p w14:paraId="40CAC2BE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Check the employee’s performance. What’s good? What must improve?</w:t>
      </w:r>
    </w:p>
    <w:p w14:paraId="3D9DD3E8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Agree any further support as a programme with timed goals</w:t>
      </w:r>
    </w:p>
    <w:p w14:paraId="6AD73FCC" w14:textId="77777777" w:rsidR="00DC1007" w:rsidRPr="00DC1007" w:rsidRDefault="00DC1007" w:rsidP="00DC1007">
      <w:pPr>
        <w:jc w:val="both"/>
        <w:rPr>
          <w:rFonts w:asciiTheme="minorHAnsi" w:hAnsiTheme="minorHAnsi"/>
          <w:sz w:val="16"/>
          <w:lang w:eastAsia="en-US"/>
        </w:rPr>
      </w:pPr>
    </w:p>
    <w:p w14:paraId="5EB7711D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6 - Six months/and or end of probation</w:t>
      </w:r>
    </w:p>
    <w:p w14:paraId="3E7B570D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Decide if a probationary employee is to be kept on, fairly dismissed or offered extended probation where the contract permits</w:t>
      </w:r>
    </w:p>
    <w:p w14:paraId="1CC76EAF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Review their performance and establish goals for the next six months</w:t>
      </w:r>
    </w:p>
    <w:p w14:paraId="29EDE4B3" w14:textId="77777777" w:rsidR="00DC1007" w:rsidRPr="00DC1007" w:rsidRDefault="00DC1007" w:rsidP="00DC1007">
      <w:pPr>
        <w:jc w:val="both"/>
        <w:rPr>
          <w:rFonts w:asciiTheme="minorHAnsi" w:hAnsiTheme="minorHAnsi"/>
          <w:sz w:val="16"/>
          <w:lang w:eastAsia="en-US"/>
        </w:rPr>
      </w:pPr>
    </w:p>
    <w:p w14:paraId="266B788D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7 – Twelve months</w:t>
      </w:r>
    </w:p>
    <w:p w14:paraId="03FC84AE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Hold a full performance management review or appraisal</w:t>
      </w:r>
    </w:p>
    <w:p w14:paraId="097AB752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Ask the employee for feedback on the effectiveness of their induction</w:t>
      </w:r>
    </w:p>
    <w:p w14:paraId="43D7696E" w14:textId="77777777" w:rsidR="00DC1007" w:rsidRPr="00DC1007" w:rsidRDefault="00DC1007" w:rsidP="00DC1007">
      <w:pPr>
        <w:jc w:val="both"/>
        <w:rPr>
          <w:rFonts w:asciiTheme="minorHAnsi" w:hAnsiTheme="minorHAnsi"/>
          <w:sz w:val="16"/>
          <w:lang w:eastAsia="en-US"/>
        </w:rPr>
      </w:pPr>
    </w:p>
    <w:p w14:paraId="39F473FB" w14:textId="77777777" w:rsidR="00DC1007" w:rsidRPr="00DC1007" w:rsidRDefault="00DC1007" w:rsidP="00DC1007">
      <w:pPr>
        <w:kinsoku w:val="0"/>
        <w:overflowPunct w:val="0"/>
        <w:spacing w:after="120"/>
        <w:textAlignment w:val="baseline"/>
        <w:rPr>
          <w:rFonts w:asciiTheme="minorHAnsi" w:hAnsiTheme="minorHAnsi"/>
          <w:color w:val="000000"/>
          <w:sz w:val="18"/>
          <w:szCs w:val="24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Step 8 – What happens next?</w:t>
      </w:r>
    </w:p>
    <w:p w14:paraId="721247E9" w14:textId="77777777" w:rsidR="00DC1007" w:rsidRPr="00DC1007" w:rsidRDefault="00DC1007" w:rsidP="00DC1007">
      <w:pPr>
        <w:pStyle w:val="AzureBodyText-12pt"/>
        <w:numPr>
          <w:ilvl w:val="0"/>
          <w:numId w:val="38"/>
        </w:numPr>
        <w:tabs>
          <w:tab w:val="clear" w:pos="284"/>
          <w:tab w:val="left" w:pos="567"/>
        </w:tabs>
        <w:spacing w:after="0"/>
        <w:ind w:left="567" w:hanging="567"/>
        <w:rPr>
          <w:sz w:val="16"/>
          <w:lang w:val="en-US" w:eastAsia="en-US"/>
        </w:rPr>
      </w:pPr>
      <w:r w:rsidRPr="00DC1007">
        <w:rPr>
          <w:rFonts w:eastAsia="+mn-ea"/>
          <w:lang w:val="en-US" w:eastAsia="en-US"/>
        </w:rPr>
        <w:t>Continue to support development of employee in ways that benefit the organisation and increase their ability and loyalty</w:t>
      </w:r>
    </w:p>
    <w:p w14:paraId="425DACC8" w14:textId="77777777" w:rsidR="00DC1007" w:rsidRPr="00DC1007" w:rsidRDefault="00DC1007" w:rsidP="00DC1007">
      <w:pPr>
        <w:kinsoku w:val="0"/>
        <w:overflowPunct w:val="0"/>
        <w:textAlignment w:val="baseline"/>
        <w:rPr>
          <w:rFonts w:asciiTheme="minorHAnsi" w:eastAsia="+mn-ea" w:hAnsiTheme="minorHAnsi" w:cs="+mn-cs"/>
          <w:color w:val="000000"/>
          <w:kern w:val="24"/>
          <w:sz w:val="24"/>
          <w:szCs w:val="40"/>
          <w:lang w:val="en-US" w:eastAsia="en-US"/>
        </w:rPr>
      </w:pPr>
    </w:p>
    <w:p w14:paraId="6B4E3C39" w14:textId="77777777" w:rsidR="00DC1007" w:rsidRPr="00DC1007" w:rsidRDefault="00DC1007" w:rsidP="00DC1007">
      <w:pPr>
        <w:kinsoku w:val="0"/>
        <w:overflowPunct w:val="0"/>
        <w:jc w:val="right"/>
        <w:textAlignment w:val="baseline"/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</w:pPr>
      <w:r w:rsidRPr="00DC1007">
        <w:rPr>
          <w:rFonts w:asciiTheme="minorHAnsi" w:eastAsia="+mn-ea" w:hAnsiTheme="minorHAnsi" w:cs="+mn-cs"/>
          <w:color w:val="0070C0"/>
          <w:kern w:val="24"/>
          <w:sz w:val="28"/>
          <w:szCs w:val="40"/>
          <w:lang w:val="en-US" w:eastAsia="en-US"/>
        </w:rPr>
        <w:t>Source:</w:t>
      </w:r>
    </w:p>
    <w:p w14:paraId="33693C16" w14:textId="77777777" w:rsidR="00DC1007" w:rsidRPr="00DC1007" w:rsidRDefault="00DC1007" w:rsidP="00DC1007">
      <w:pPr>
        <w:kinsoku w:val="0"/>
        <w:overflowPunct w:val="0"/>
        <w:jc w:val="right"/>
        <w:textAlignment w:val="baseline"/>
        <w:rPr>
          <w:rFonts w:ascii="Calibri" w:hAnsi="Calibri"/>
          <w:color w:val="0070C0"/>
          <w:sz w:val="28"/>
          <w:szCs w:val="24"/>
          <w:lang w:val="en-US" w:eastAsia="en-US"/>
        </w:rPr>
      </w:pPr>
      <w:bookmarkStart w:id="0" w:name="_GoBack"/>
      <w:r w:rsidRPr="00B37728">
        <w:rPr>
          <w:rFonts w:ascii="Calibri" w:hAnsi="Calibri"/>
          <w:color w:val="002060"/>
          <w:sz w:val="28"/>
          <w:szCs w:val="24"/>
          <w:u w:val="single"/>
          <w:lang w:val="en-US" w:eastAsia="en-US"/>
        </w:rPr>
        <w:t>www.acas.org.uk</w:t>
      </w:r>
      <w:r w:rsidRPr="00B37728">
        <w:rPr>
          <w:rFonts w:ascii="Calibri" w:hAnsi="Calibri"/>
          <w:color w:val="002060"/>
          <w:sz w:val="28"/>
          <w:szCs w:val="24"/>
          <w:lang w:val="en-US" w:eastAsia="en-US"/>
        </w:rPr>
        <w:t xml:space="preserve"> </w:t>
      </w:r>
      <w:bookmarkEnd w:id="0"/>
      <w:r w:rsidRPr="00DC1007">
        <w:rPr>
          <w:rFonts w:ascii="Calibri" w:hAnsi="Calibri"/>
          <w:color w:val="0070C0"/>
          <w:sz w:val="28"/>
          <w:szCs w:val="24"/>
          <w:lang w:val="en-US" w:eastAsia="en-US"/>
        </w:rPr>
        <w:t>(2015)</w:t>
      </w:r>
    </w:p>
    <w:p w14:paraId="124C4E06" w14:textId="0662D736" w:rsidR="00830BA0" w:rsidRPr="00830BA0" w:rsidRDefault="00830BA0" w:rsidP="00830BA0">
      <w:pPr>
        <w:rPr>
          <w:rFonts w:ascii="Calibri" w:hAnsi="Calibri"/>
        </w:rPr>
      </w:pPr>
    </w:p>
    <w:sectPr w:rsidR="00830BA0" w:rsidRPr="00830BA0" w:rsidSect="000456B7">
      <w:footerReference w:type="default" r:id="rId8"/>
      <w:pgSz w:w="11906" w:h="16838"/>
      <w:pgMar w:top="720" w:right="851" w:bottom="72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E8B3" w14:textId="77777777" w:rsidR="006F5F32" w:rsidRPr="00821C6A" w:rsidRDefault="006F5F32" w:rsidP="006F5F32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42974456" wp14:editId="40257B59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05"/>
    <w:multiLevelType w:val="hybridMultilevel"/>
    <w:tmpl w:val="550298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CBC"/>
    <w:multiLevelType w:val="singleLevel"/>
    <w:tmpl w:val="F61C13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A4A5E1D"/>
    <w:multiLevelType w:val="hybridMultilevel"/>
    <w:tmpl w:val="80FCA8E2"/>
    <w:lvl w:ilvl="0" w:tplc="28A6D93E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82646F"/>
    <w:multiLevelType w:val="hybridMultilevel"/>
    <w:tmpl w:val="737A6F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66FA"/>
    <w:multiLevelType w:val="hybridMultilevel"/>
    <w:tmpl w:val="A74C8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31D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C4B13AA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FF17BC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EAF57A4"/>
    <w:multiLevelType w:val="hybridMultilevel"/>
    <w:tmpl w:val="089457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6312"/>
    <w:multiLevelType w:val="hybridMultilevel"/>
    <w:tmpl w:val="054CA0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7CE3"/>
    <w:multiLevelType w:val="hybridMultilevel"/>
    <w:tmpl w:val="E3F6D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C33"/>
    <w:multiLevelType w:val="hybridMultilevel"/>
    <w:tmpl w:val="C6A672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BAF"/>
    <w:multiLevelType w:val="hybridMultilevel"/>
    <w:tmpl w:val="C0787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32C1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23145A7"/>
    <w:multiLevelType w:val="hybridMultilevel"/>
    <w:tmpl w:val="C5E2F588"/>
    <w:lvl w:ilvl="0" w:tplc="28A6D9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27523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A6044C2"/>
    <w:multiLevelType w:val="hybridMultilevel"/>
    <w:tmpl w:val="357E71F2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77010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4235314E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4DA10D7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64626F4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7F24764"/>
    <w:multiLevelType w:val="hybridMultilevel"/>
    <w:tmpl w:val="FE22E3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9245E"/>
    <w:multiLevelType w:val="hybridMultilevel"/>
    <w:tmpl w:val="A88EE7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28FB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027409E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03B21AB"/>
    <w:multiLevelType w:val="hybridMultilevel"/>
    <w:tmpl w:val="CDB6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E6EE4"/>
    <w:multiLevelType w:val="hybridMultilevel"/>
    <w:tmpl w:val="D5A00F54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E5E67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92E7C22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93930C0"/>
    <w:multiLevelType w:val="hybridMultilevel"/>
    <w:tmpl w:val="C09840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9738E"/>
    <w:multiLevelType w:val="hybridMultilevel"/>
    <w:tmpl w:val="D94E0B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6173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DC43AE6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F0D1DE5"/>
    <w:multiLevelType w:val="hybridMultilevel"/>
    <w:tmpl w:val="14B47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138"/>
    <w:multiLevelType w:val="hybridMultilevel"/>
    <w:tmpl w:val="EE4A202A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A2F05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4D7401A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28"/>
  </w:num>
  <w:num w:numId="20">
    <w:abstractNumId w:val="36"/>
  </w:num>
  <w:num w:numId="21">
    <w:abstractNumId w:val="35"/>
  </w:num>
  <w:num w:numId="22">
    <w:abstractNumId w:val="24"/>
  </w:num>
  <w:num w:numId="23">
    <w:abstractNumId w:val="6"/>
  </w:num>
  <w:num w:numId="24">
    <w:abstractNumId w:val="7"/>
  </w:num>
  <w:num w:numId="25">
    <w:abstractNumId w:val="23"/>
  </w:num>
  <w:num w:numId="26">
    <w:abstractNumId w:val="32"/>
  </w:num>
  <w:num w:numId="27">
    <w:abstractNumId w:val="20"/>
  </w:num>
  <w:num w:numId="28">
    <w:abstractNumId w:val="5"/>
  </w:num>
  <w:num w:numId="29">
    <w:abstractNumId w:val="31"/>
  </w:num>
  <w:num w:numId="30">
    <w:abstractNumId w:val="15"/>
  </w:num>
  <w:num w:numId="31">
    <w:abstractNumId w:val="1"/>
  </w:num>
  <w:num w:numId="32">
    <w:abstractNumId w:val="0"/>
  </w:num>
  <w:num w:numId="33">
    <w:abstractNumId w:val="2"/>
  </w:num>
  <w:num w:numId="34">
    <w:abstractNumId w:val="26"/>
  </w:num>
  <w:num w:numId="35">
    <w:abstractNumId w:val="16"/>
  </w:num>
  <w:num w:numId="36">
    <w:abstractNumId w:val="34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456B7"/>
    <w:rsid w:val="000E5C5A"/>
    <w:rsid w:val="00206B85"/>
    <w:rsid w:val="002A0AC5"/>
    <w:rsid w:val="002E4545"/>
    <w:rsid w:val="003467E4"/>
    <w:rsid w:val="00466111"/>
    <w:rsid w:val="004B0B93"/>
    <w:rsid w:val="005C38EB"/>
    <w:rsid w:val="00655F5E"/>
    <w:rsid w:val="00694CF2"/>
    <w:rsid w:val="006B1E77"/>
    <w:rsid w:val="006B50E0"/>
    <w:rsid w:val="006F5F32"/>
    <w:rsid w:val="00830BA0"/>
    <w:rsid w:val="008E5A61"/>
    <w:rsid w:val="00907D77"/>
    <w:rsid w:val="00A50EC7"/>
    <w:rsid w:val="00B37728"/>
    <w:rsid w:val="00BF6281"/>
    <w:rsid w:val="00DC1007"/>
    <w:rsid w:val="00DF4018"/>
    <w:rsid w:val="00E25018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table" w:styleId="TableGrid">
    <w:name w:val="Table Grid"/>
    <w:basedOn w:val="TableNormal"/>
    <w:rsid w:val="00BF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6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30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Tracy Collin</cp:lastModifiedBy>
  <cp:revision>4</cp:revision>
  <cp:lastPrinted>2005-05-19T07:29:00Z</cp:lastPrinted>
  <dcterms:created xsi:type="dcterms:W3CDTF">2020-03-13T15:42:00Z</dcterms:created>
  <dcterms:modified xsi:type="dcterms:W3CDTF">2020-03-16T12:39:00Z</dcterms:modified>
</cp:coreProperties>
</file>